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75196" w14:textId="77777777" w:rsidR="007A2816" w:rsidRPr="007A2816" w:rsidRDefault="007A2816" w:rsidP="007A2816">
      <w:pPr>
        <w:overflowPunct w:val="0"/>
        <w:autoSpaceDE w:val="0"/>
        <w:autoSpaceDN w:val="0"/>
        <w:spacing w:before="8" w:after="0" w:line="240" w:lineRule="auto"/>
        <w:rPr>
          <w:rFonts w:ascii="Arial" w:eastAsia="Calibri" w:hAnsi="Arial" w:cs="Arial"/>
          <w:sz w:val="8"/>
          <w:szCs w:val="8"/>
        </w:rPr>
      </w:pPr>
    </w:p>
    <w:tbl>
      <w:tblPr>
        <w:tblW w:w="0" w:type="auto"/>
        <w:tblInd w:w="787" w:type="dxa"/>
        <w:tblCellMar>
          <w:left w:w="0" w:type="dxa"/>
          <w:right w:w="0" w:type="dxa"/>
        </w:tblCellMar>
        <w:tblLook w:val="04A0" w:firstRow="1" w:lastRow="0" w:firstColumn="1" w:lastColumn="0" w:noHBand="0" w:noVBand="1"/>
      </w:tblPr>
      <w:tblGrid>
        <w:gridCol w:w="2060"/>
        <w:gridCol w:w="3796"/>
        <w:gridCol w:w="2697"/>
      </w:tblGrid>
      <w:tr w:rsidR="007A2816" w:rsidRPr="007A2816" w14:paraId="7791B3F9" w14:textId="77777777" w:rsidTr="007A2816">
        <w:trPr>
          <w:trHeight w:val="254"/>
        </w:trPr>
        <w:tc>
          <w:tcPr>
            <w:tcW w:w="2630" w:type="dxa"/>
            <w:tcBorders>
              <w:top w:val="single" w:sz="8" w:space="0" w:color="000000"/>
              <w:left w:val="single" w:sz="8" w:space="0" w:color="000000"/>
              <w:bottom w:val="single" w:sz="8" w:space="0" w:color="000000"/>
              <w:right w:val="single" w:sz="8" w:space="0" w:color="000000"/>
            </w:tcBorders>
            <w:hideMark/>
          </w:tcPr>
          <w:p w14:paraId="5D81BF02" w14:textId="77777777" w:rsidR="007A2816" w:rsidRPr="007A2816" w:rsidRDefault="007A2816" w:rsidP="007A2816">
            <w:pPr>
              <w:overflowPunct w:val="0"/>
              <w:autoSpaceDE w:val="0"/>
              <w:autoSpaceDN w:val="0"/>
              <w:spacing w:after="0" w:line="234" w:lineRule="exact"/>
              <w:ind w:left="398"/>
              <w:rPr>
                <w:rFonts w:ascii="Arial" w:eastAsia="Calibri" w:hAnsi="Arial" w:cs="Arial"/>
                <w:b/>
                <w:bCs/>
                <w:color w:val="C00000"/>
              </w:rPr>
            </w:pPr>
            <w:r w:rsidRPr="007A2816">
              <w:rPr>
                <w:rFonts w:ascii="Arial" w:eastAsia="Calibri" w:hAnsi="Arial" w:cs="Arial"/>
                <w:b/>
                <w:bCs/>
                <w:color w:val="C00000"/>
              </w:rPr>
              <w:t>TRAINING EVENT</w:t>
            </w:r>
          </w:p>
        </w:tc>
        <w:tc>
          <w:tcPr>
            <w:tcW w:w="4382" w:type="dxa"/>
            <w:tcBorders>
              <w:top w:val="single" w:sz="8" w:space="0" w:color="000000"/>
              <w:left w:val="nil"/>
              <w:bottom w:val="single" w:sz="8" w:space="0" w:color="000000"/>
              <w:right w:val="single" w:sz="8" w:space="0" w:color="000000"/>
            </w:tcBorders>
            <w:hideMark/>
          </w:tcPr>
          <w:p w14:paraId="55898F8F" w14:textId="77777777" w:rsidR="007A2816" w:rsidRPr="007A2816" w:rsidRDefault="007A2816" w:rsidP="007A2816">
            <w:pPr>
              <w:overflowPunct w:val="0"/>
              <w:autoSpaceDE w:val="0"/>
              <w:autoSpaceDN w:val="0"/>
              <w:spacing w:after="0" w:line="234" w:lineRule="exact"/>
              <w:ind w:left="1226"/>
              <w:rPr>
                <w:rFonts w:ascii="Arial" w:eastAsia="Calibri" w:hAnsi="Arial" w:cs="Arial"/>
                <w:b/>
                <w:bCs/>
                <w:color w:val="C00000"/>
              </w:rPr>
            </w:pPr>
            <w:r w:rsidRPr="007A2816">
              <w:rPr>
                <w:rFonts w:ascii="Arial" w:eastAsia="Calibri" w:hAnsi="Arial" w:cs="Arial"/>
                <w:b/>
                <w:bCs/>
                <w:color w:val="C00000"/>
              </w:rPr>
              <w:t>DOCUMENTATION</w:t>
            </w:r>
          </w:p>
        </w:tc>
        <w:tc>
          <w:tcPr>
            <w:tcW w:w="3144" w:type="dxa"/>
            <w:tcBorders>
              <w:top w:val="single" w:sz="8" w:space="0" w:color="000000"/>
              <w:left w:val="nil"/>
              <w:bottom w:val="single" w:sz="8" w:space="0" w:color="000000"/>
              <w:right w:val="single" w:sz="8" w:space="0" w:color="000000"/>
            </w:tcBorders>
            <w:hideMark/>
          </w:tcPr>
          <w:p w14:paraId="19554701" w14:textId="77777777" w:rsidR="007A2816" w:rsidRPr="007A2816" w:rsidRDefault="007A2816" w:rsidP="007A2816">
            <w:pPr>
              <w:overflowPunct w:val="0"/>
              <w:autoSpaceDE w:val="0"/>
              <w:autoSpaceDN w:val="0"/>
              <w:spacing w:after="0" w:line="234" w:lineRule="exact"/>
              <w:ind w:left="941"/>
              <w:rPr>
                <w:rFonts w:ascii="Arial" w:eastAsia="Calibri" w:hAnsi="Arial" w:cs="Arial"/>
                <w:b/>
                <w:bCs/>
                <w:color w:val="C00000"/>
              </w:rPr>
            </w:pPr>
            <w:r w:rsidRPr="007A2816">
              <w:rPr>
                <w:rFonts w:ascii="Arial" w:eastAsia="Calibri" w:hAnsi="Arial" w:cs="Arial"/>
                <w:b/>
                <w:bCs/>
                <w:color w:val="C00000"/>
              </w:rPr>
              <w:t>COMMENTS</w:t>
            </w:r>
          </w:p>
        </w:tc>
      </w:tr>
      <w:tr w:rsidR="007A2816" w:rsidRPr="007A2816" w14:paraId="219A529D" w14:textId="77777777" w:rsidTr="007A2816">
        <w:trPr>
          <w:trHeight w:val="1516"/>
        </w:trPr>
        <w:tc>
          <w:tcPr>
            <w:tcW w:w="2630" w:type="dxa"/>
            <w:tcBorders>
              <w:top w:val="nil"/>
              <w:left w:val="single" w:sz="8" w:space="0" w:color="000000"/>
              <w:bottom w:val="single" w:sz="8" w:space="0" w:color="000000"/>
              <w:right w:val="single" w:sz="8" w:space="0" w:color="000000"/>
            </w:tcBorders>
            <w:hideMark/>
          </w:tcPr>
          <w:p w14:paraId="2BB243A8" w14:textId="77777777" w:rsidR="007A2816" w:rsidRPr="007A2816" w:rsidRDefault="007A2816" w:rsidP="007A2816">
            <w:pPr>
              <w:overflowPunct w:val="0"/>
              <w:autoSpaceDE w:val="0"/>
              <w:autoSpaceDN w:val="0"/>
              <w:spacing w:after="0" w:line="240" w:lineRule="auto"/>
              <w:rPr>
                <w:rFonts w:ascii="Arial" w:eastAsia="Calibri" w:hAnsi="Arial" w:cs="Arial"/>
              </w:rPr>
            </w:pPr>
            <w:r w:rsidRPr="007A2816">
              <w:rPr>
                <w:rFonts w:ascii="Arial" w:eastAsia="Calibri" w:hAnsi="Arial" w:cs="Arial"/>
              </w:rPr>
              <w:t>National Conference</w:t>
            </w:r>
          </w:p>
        </w:tc>
        <w:tc>
          <w:tcPr>
            <w:tcW w:w="4382" w:type="dxa"/>
            <w:tcBorders>
              <w:top w:val="nil"/>
              <w:left w:val="nil"/>
              <w:bottom w:val="single" w:sz="8" w:space="0" w:color="000000"/>
              <w:right w:val="single" w:sz="8" w:space="0" w:color="000000"/>
            </w:tcBorders>
          </w:tcPr>
          <w:p w14:paraId="70DA4298" w14:textId="77777777" w:rsidR="007A2816" w:rsidRPr="007A2816" w:rsidRDefault="007A2816" w:rsidP="007A2816">
            <w:pPr>
              <w:autoSpaceDE w:val="0"/>
              <w:autoSpaceDN w:val="0"/>
              <w:spacing w:after="0" w:line="240" w:lineRule="auto"/>
              <w:rPr>
                <w:rFonts w:ascii="Arial" w:eastAsia="Calibri" w:hAnsi="Arial" w:cs="Arial"/>
              </w:rPr>
            </w:pPr>
            <w:r w:rsidRPr="007A2816">
              <w:rPr>
                <w:rFonts w:ascii="Arial" w:eastAsia="Calibri" w:hAnsi="Arial" w:cs="Arial"/>
              </w:rPr>
              <w:t>Participants must attend at least four sessions (the entire session) to request Training Incentive Program (TIP) reimbursement. Since the event is virtual, SourceAmerica will not scan badges. However, SourceAmerica will have a report of which session/s and how long an individual attended.</w:t>
            </w:r>
          </w:p>
          <w:p w14:paraId="0039B4C3" w14:textId="77777777" w:rsidR="007A2816" w:rsidRPr="007A2816" w:rsidRDefault="007A2816" w:rsidP="007A2816">
            <w:pPr>
              <w:autoSpaceDE w:val="0"/>
              <w:autoSpaceDN w:val="0"/>
              <w:spacing w:after="0" w:line="240" w:lineRule="auto"/>
              <w:rPr>
                <w:rFonts w:ascii="Arial" w:eastAsia="Calibri" w:hAnsi="Arial" w:cs="Arial"/>
              </w:rPr>
            </w:pPr>
          </w:p>
        </w:tc>
        <w:tc>
          <w:tcPr>
            <w:tcW w:w="3144" w:type="dxa"/>
            <w:tcBorders>
              <w:top w:val="nil"/>
              <w:left w:val="nil"/>
              <w:bottom w:val="single" w:sz="8" w:space="0" w:color="000000"/>
              <w:right w:val="single" w:sz="8" w:space="0" w:color="000000"/>
            </w:tcBorders>
          </w:tcPr>
          <w:p w14:paraId="40D853EA" w14:textId="77777777" w:rsidR="007A2816" w:rsidRPr="007A2816" w:rsidRDefault="007A2816" w:rsidP="007A2816">
            <w:pPr>
              <w:autoSpaceDE w:val="0"/>
              <w:autoSpaceDN w:val="0"/>
              <w:spacing w:after="0" w:line="240" w:lineRule="auto"/>
              <w:rPr>
                <w:rFonts w:ascii="Arial" w:eastAsia="Calibri" w:hAnsi="Arial" w:cs="Arial"/>
              </w:rPr>
            </w:pPr>
            <w:r w:rsidRPr="007A2816">
              <w:rPr>
                <w:rFonts w:ascii="Arial" w:eastAsia="Calibri" w:hAnsi="Arial" w:cs="Arial"/>
              </w:rPr>
              <w:t xml:space="preserve">Please note: </w:t>
            </w:r>
            <w:proofErr w:type="gramStart"/>
            <w:r w:rsidRPr="007A2816">
              <w:rPr>
                <w:rFonts w:ascii="Arial" w:eastAsia="Calibri" w:hAnsi="Arial" w:cs="Arial"/>
              </w:rPr>
              <w:t>Roundtables  count</w:t>
            </w:r>
            <w:proofErr w:type="gramEnd"/>
            <w:r w:rsidRPr="007A2816">
              <w:rPr>
                <w:rFonts w:ascii="Arial" w:eastAsia="Calibri" w:hAnsi="Arial" w:cs="Arial"/>
              </w:rPr>
              <w:t xml:space="preserve"> as eligible sessions as they will include training content. </w:t>
            </w:r>
          </w:p>
          <w:p w14:paraId="4617FEE4" w14:textId="77777777" w:rsidR="007A2816" w:rsidRPr="007A2816" w:rsidRDefault="007A2816" w:rsidP="007A2816">
            <w:pPr>
              <w:overflowPunct w:val="0"/>
              <w:autoSpaceDE w:val="0"/>
              <w:autoSpaceDN w:val="0"/>
              <w:spacing w:after="0" w:line="240" w:lineRule="auto"/>
              <w:ind w:left="115" w:right="186"/>
              <w:rPr>
                <w:rFonts w:ascii="Arial" w:eastAsia="Calibri" w:hAnsi="Arial" w:cs="Arial"/>
              </w:rPr>
            </w:pPr>
          </w:p>
        </w:tc>
      </w:tr>
    </w:tbl>
    <w:p w14:paraId="38600616" w14:textId="77777777" w:rsidR="007A2816" w:rsidRPr="007A2816" w:rsidRDefault="007A2816" w:rsidP="007A2816">
      <w:pPr>
        <w:overflowPunct w:val="0"/>
        <w:autoSpaceDE w:val="0"/>
        <w:autoSpaceDN w:val="0"/>
        <w:spacing w:after="0" w:line="240" w:lineRule="auto"/>
        <w:rPr>
          <w:rFonts w:ascii="Arial" w:eastAsia="Calibri" w:hAnsi="Arial" w:cs="Arial"/>
          <w:sz w:val="24"/>
          <w:szCs w:val="24"/>
        </w:rPr>
      </w:pPr>
      <w:r w:rsidRPr="007A2816">
        <w:rPr>
          <w:rFonts w:ascii="Arial" w:eastAsia="Calibri" w:hAnsi="Arial" w:cs="Arial"/>
          <w:sz w:val="24"/>
          <w:szCs w:val="24"/>
        </w:rPr>
        <w:t xml:space="preserve">          </w:t>
      </w:r>
    </w:p>
    <w:p w14:paraId="56D6448B" w14:textId="77777777" w:rsidR="007A2816" w:rsidRPr="007A2816" w:rsidRDefault="007A2816" w:rsidP="007A2816">
      <w:pPr>
        <w:overflowPunct w:val="0"/>
        <w:autoSpaceDE w:val="0"/>
        <w:autoSpaceDN w:val="0"/>
        <w:spacing w:after="0" w:line="240" w:lineRule="auto"/>
        <w:ind w:left="882" w:right="1393"/>
        <w:rPr>
          <w:rFonts w:ascii="Arial" w:eastAsia="Calibri" w:hAnsi="Arial" w:cs="Arial"/>
        </w:rPr>
      </w:pPr>
      <w:r w:rsidRPr="007A2816">
        <w:rPr>
          <w:rFonts w:ascii="Arial" w:eastAsia="Calibri" w:hAnsi="Arial" w:cs="Arial"/>
        </w:rPr>
        <w:t xml:space="preserve">Please review the </w:t>
      </w:r>
      <w:hyperlink r:id="rId5" w:history="1">
        <w:r w:rsidRPr="007A2816">
          <w:rPr>
            <w:rFonts w:ascii="Arial" w:eastAsia="Calibri" w:hAnsi="Arial" w:cs="Arial"/>
            <w:color w:val="0563C1"/>
            <w:u w:val="single"/>
          </w:rPr>
          <w:t>Training Incentive Program Extranet page</w:t>
        </w:r>
      </w:hyperlink>
      <w:r w:rsidRPr="007A2816">
        <w:rPr>
          <w:rFonts w:ascii="Arial" w:eastAsia="Calibri" w:hAnsi="Arial" w:cs="Arial"/>
        </w:rPr>
        <w:t xml:space="preserve"> (login required) to see the requirements for submitting the TIP request for reimbursement. </w:t>
      </w:r>
    </w:p>
    <w:p w14:paraId="75107E6E" w14:textId="77777777" w:rsidR="007A2816" w:rsidRPr="007A2816" w:rsidRDefault="007A2816" w:rsidP="007A2816">
      <w:pPr>
        <w:overflowPunct w:val="0"/>
        <w:autoSpaceDE w:val="0"/>
        <w:autoSpaceDN w:val="0"/>
        <w:spacing w:after="0" w:line="240" w:lineRule="auto"/>
        <w:outlineLvl w:val="0"/>
        <w:rPr>
          <w:rFonts w:ascii="Calibri" w:eastAsia="Times New Roman" w:hAnsi="Calibri" w:cs="Calibri"/>
          <w:b/>
          <w:bCs/>
          <w:kern w:val="36"/>
          <w:sz w:val="24"/>
          <w:szCs w:val="24"/>
        </w:rPr>
      </w:pPr>
    </w:p>
    <w:p w14:paraId="14CF3E6B" w14:textId="77777777" w:rsidR="007A2816" w:rsidRPr="007A2816" w:rsidRDefault="007A2816" w:rsidP="007A2816">
      <w:pPr>
        <w:overflowPunct w:val="0"/>
        <w:autoSpaceDE w:val="0"/>
        <w:autoSpaceDN w:val="0"/>
        <w:spacing w:after="0" w:line="240" w:lineRule="auto"/>
        <w:ind w:left="880"/>
        <w:outlineLvl w:val="0"/>
        <w:rPr>
          <w:rFonts w:ascii="Arial" w:eastAsia="Times New Roman" w:hAnsi="Arial" w:cs="Arial"/>
          <w:b/>
          <w:bCs/>
          <w:color w:val="C00000"/>
          <w:kern w:val="36"/>
          <w:sz w:val="24"/>
          <w:szCs w:val="24"/>
        </w:rPr>
      </w:pPr>
      <w:r w:rsidRPr="007A2816">
        <w:rPr>
          <w:rFonts w:ascii="Arial" w:eastAsia="Times New Roman" w:hAnsi="Arial" w:cs="Arial"/>
          <w:b/>
          <w:bCs/>
          <w:color w:val="C00000"/>
          <w:kern w:val="36"/>
          <w:sz w:val="24"/>
          <w:szCs w:val="24"/>
        </w:rPr>
        <w:t>Program Eligibility</w:t>
      </w:r>
    </w:p>
    <w:p w14:paraId="6D9A5D78" w14:textId="77777777" w:rsidR="007A2816" w:rsidRPr="007A2816" w:rsidRDefault="007A2816" w:rsidP="007A2816">
      <w:pPr>
        <w:overflowPunct w:val="0"/>
        <w:autoSpaceDE w:val="0"/>
        <w:autoSpaceDN w:val="0"/>
        <w:spacing w:before="2" w:after="0" w:line="252" w:lineRule="exact"/>
        <w:ind w:left="880"/>
        <w:rPr>
          <w:rFonts w:ascii="Arial" w:eastAsia="Calibri" w:hAnsi="Arial" w:cs="Arial"/>
          <w:color w:val="211E1F"/>
        </w:rPr>
      </w:pPr>
      <w:r w:rsidRPr="007A2816">
        <w:rPr>
          <w:rFonts w:ascii="Arial" w:eastAsia="Calibri" w:hAnsi="Arial" w:cs="Arial"/>
        </w:rPr>
        <w:t xml:space="preserve">To be eligible for SourceAmerica financial assistance, including TIP reimbursements, NPAs </w:t>
      </w:r>
      <w:r w:rsidRPr="007A2816">
        <w:rPr>
          <w:rFonts w:ascii="Arial" w:eastAsia="Calibri" w:hAnsi="Arial" w:cs="Arial"/>
          <w:color w:val="211E1F"/>
        </w:rPr>
        <w:t>must:</w:t>
      </w:r>
    </w:p>
    <w:p w14:paraId="5600B330" w14:textId="77777777" w:rsidR="007A2816" w:rsidRPr="007A2816" w:rsidRDefault="007A2816" w:rsidP="007A2816">
      <w:pPr>
        <w:numPr>
          <w:ilvl w:val="0"/>
          <w:numId w:val="1"/>
        </w:numPr>
        <w:overflowPunct w:val="0"/>
        <w:autoSpaceDE w:val="0"/>
        <w:autoSpaceDN w:val="0"/>
        <w:spacing w:after="0" w:line="269" w:lineRule="exact"/>
        <w:rPr>
          <w:rFonts w:ascii="Arial" w:eastAsia="Calibri" w:hAnsi="Arial" w:cs="Arial"/>
          <w:color w:val="211E1F"/>
        </w:rPr>
      </w:pPr>
      <w:r w:rsidRPr="007A2816">
        <w:rPr>
          <w:rFonts w:ascii="Arial" w:eastAsia="Calibri" w:hAnsi="Arial" w:cs="Arial"/>
          <w:color w:val="000000"/>
        </w:rPr>
        <w:t>Be compliant with all federal laws and</w:t>
      </w:r>
      <w:r w:rsidRPr="007A2816">
        <w:rPr>
          <w:rFonts w:ascii="Arial" w:eastAsia="Calibri" w:hAnsi="Arial" w:cs="Arial"/>
          <w:color w:val="000000"/>
          <w:spacing w:val="-17"/>
        </w:rPr>
        <w:t xml:space="preserve"> </w:t>
      </w:r>
      <w:r w:rsidRPr="007A2816">
        <w:rPr>
          <w:rFonts w:ascii="Arial" w:eastAsia="Calibri" w:hAnsi="Arial" w:cs="Arial"/>
          <w:color w:val="000000"/>
        </w:rPr>
        <w:t>regulations</w:t>
      </w:r>
    </w:p>
    <w:p w14:paraId="73E7162C" w14:textId="77777777" w:rsidR="007A2816" w:rsidRPr="007A2816" w:rsidRDefault="007A2816" w:rsidP="007A2816">
      <w:pPr>
        <w:numPr>
          <w:ilvl w:val="0"/>
          <w:numId w:val="1"/>
        </w:numPr>
        <w:overflowPunct w:val="0"/>
        <w:autoSpaceDE w:val="0"/>
        <w:autoSpaceDN w:val="0"/>
        <w:spacing w:before="4" w:after="0" w:line="228" w:lineRule="auto"/>
        <w:ind w:right="1154"/>
        <w:rPr>
          <w:rFonts w:ascii="Arial" w:eastAsia="Calibri" w:hAnsi="Arial" w:cs="Arial"/>
          <w:color w:val="211E1F"/>
        </w:rPr>
      </w:pPr>
      <w:r w:rsidRPr="007A2816">
        <w:rPr>
          <w:rFonts w:ascii="Arial" w:eastAsia="Calibri" w:hAnsi="Arial" w:cs="Arial"/>
          <w:color w:val="000000"/>
        </w:rPr>
        <w:t>Employ</w:t>
      </w:r>
      <w:r w:rsidRPr="007A2816">
        <w:rPr>
          <w:rFonts w:ascii="Arial" w:eastAsia="Calibri" w:hAnsi="Arial" w:cs="Arial"/>
          <w:color w:val="000000"/>
          <w:spacing w:val="-12"/>
        </w:rPr>
        <w:t xml:space="preserve"> </w:t>
      </w:r>
      <w:r w:rsidRPr="007A2816">
        <w:rPr>
          <w:rFonts w:ascii="Arial" w:eastAsia="Calibri" w:hAnsi="Arial" w:cs="Arial"/>
          <w:color w:val="000000"/>
        </w:rPr>
        <w:t>people</w:t>
      </w:r>
      <w:r w:rsidRPr="007A2816">
        <w:rPr>
          <w:rFonts w:ascii="Arial" w:eastAsia="Calibri" w:hAnsi="Arial" w:cs="Arial"/>
          <w:color w:val="000000"/>
          <w:spacing w:val="-10"/>
        </w:rPr>
        <w:t xml:space="preserve"> </w:t>
      </w:r>
      <w:r w:rsidRPr="007A2816">
        <w:rPr>
          <w:rFonts w:ascii="Arial" w:eastAsia="Calibri" w:hAnsi="Arial" w:cs="Arial"/>
          <w:color w:val="000000"/>
        </w:rPr>
        <w:t>who</w:t>
      </w:r>
      <w:r w:rsidRPr="007A2816">
        <w:rPr>
          <w:rFonts w:ascii="Arial" w:eastAsia="Calibri" w:hAnsi="Arial" w:cs="Arial"/>
          <w:color w:val="000000"/>
          <w:spacing w:val="-10"/>
        </w:rPr>
        <w:t xml:space="preserve"> </w:t>
      </w:r>
      <w:r w:rsidRPr="007A2816">
        <w:rPr>
          <w:rFonts w:ascii="Arial" w:eastAsia="Calibri" w:hAnsi="Arial" w:cs="Arial"/>
          <w:color w:val="000000"/>
        </w:rPr>
        <w:t>are</w:t>
      </w:r>
      <w:r w:rsidRPr="007A2816">
        <w:rPr>
          <w:rFonts w:ascii="Arial" w:eastAsia="Calibri" w:hAnsi="Arial" w:cs="Arial"/>
          <w:color w:val="000000"/>
          <w:spacing w:val="-12"/>
        </w:rPr>
        <w:t xml:space="preserve"> </w:t>
      </w:r>
      <w:r w:rsidRPr="007A2816">
        <w:rPr>
          <w:rFonts w:ascii="Arial" w:eastAsia="Calibri" w:hAnsi="Arial" w:cs="Arial"/>
          <w:color w:val="000000"/>
        </w:rPr>
        <w:t>significantly</w:t>
      </w:r>
      <w:r w:rsidRPr="007A2816">
        <w:rPr>
          <w:rFonts w:ascii="Arial" w:eastAsia="Calibri" w:hAnsi="Arial" w:cs="Arial"/>
          <w:color w:val="000000"/>
          <w:spacing w:val="-12"/>
        </w:rPr>
        <w:t xml:space="preserve"> </w:t>
      </w:r>
      <w:r w:rsidRPr="007A2816">
        <w:rPr>
          <w:rFonts w:ascii="Arial" w:eastAsia="Calibri" w:hAnsi="Arial" w:cs="Arial"/>
          <w:color w:val="000000"/>
        </w:rPr>
        <w:t>disabled</w:t>
      </w:r>
      <w:r w:rsidRPr="007A2816">
        <w:rPr>
          <w:rFonts w:ascii="Arial" w:eastAsia="Calibri" w:hAnsi="Arial" w:cs="Arial"/>
          <w:color w:val="000000"/>
          <w:spacing w:val="-14"/>
        </w:rPr>
        <w:t xml:space="preserve"> </w:t>
      </w:r>
      <w:r w:rsidRPr="007A2816">
        <w:rPr>
          <w:rFonts w:ascii="Arial" w:eastAsia="Calibri" w:hAnsi="Arial" w:cs="Arial"/>
          <w:color w:val="000000"/>
        </w:rPr>
        <w:t>for</w:t>
      </w:r>
      <w:r w:rsidRPr="007A2816">
        <w:rPr>
          <w:rFonts w:ascii="Arial" w:eastAsia="Calibri" w:hAnsi="Arial" w:cs="Arial"/>
          <w:color w:val="000000"/>
          <w:spacing w:val="-8"/>
        </w:rPr>
        <w:t xml:space="preserve"> </w:t>
      </w:r>
      <w:r w:rsidRPr="007A2816">
        <w:rPr>
          <w:rFonts w:ascii="Arial" w:eastAsia="Calibri" w:hAnsi="Arial" w:cs="Arial"/>
          <w:color w:val="000000"/>
        </w:rPr>
        <w:t>at</w:t>
      </w:r>
      <w:r w:rsidRPr="007A2816">
        <w:rPr>
          <w:rFonts w:ascii="Arial" w:eastAsia="Calibri" w:hAnsi="Arial" w:cs="Arial"/>
          <w:color w:val="000000"/>
          <w:spacing w:val="-13"/>
        </w:rPr>
        <w:t xml:space="preserve"> </w:t>
      </w:r>
      <w:r w:rsidRPr="007A2816">
        <w:rPr>
          <w:rFonts w:ascii="Arial" w:eastAsia="Calibri" w:hAnsi="Arial" w:cs="Arial"/>
          <w:color w:val="000000"/>
        </w:rPr>
        <w:t>least</w:t>
      </w:r>
      <w:r w:rsidRPr="007A2816">
        <w:rPr>
          <w:rFonts w:ascii="Arial" w:eastAsia="Calibri" w:hAnsi="Arial" w:cs="Arial"/>
          <w:color w:val="000000"/>
          <w:spacing w:val="-6"/>
        </w:rPr>
        <w:t xml:space="preserve"> </w:t>
      </w:r>
      <w:r w:rsidRPr="007A2816">
        <w:rPr>
          <w:rFonts w:ascii="Arial" w:eastAsia="Calibri" w:hAnsi="Arial" w:cs="Arial"/>
          <w:color w:val="000000"/>
        </w:rPr>
        <w:t>75</w:t>
      </w:r>
      <w:r w:rsidRPr="007A2816">
        <w:rPr>
          <w:rFonts w:ascii="Arial" w:eastAsia="Calibri" w:hAnsi="Arial" w:cs="Arial"/>
          <w:color w:val="000000"/>
          <w:spacing w:val="-14"/>
        </w:rPr>
        <w:t xml:space="preserve"> </w:t>
      </w:r>
      <w:r w:rsidRPr="007A2816">
        <w:rPr>
          <w:rFonts w:ascii="Arial" w:eastAsia="Calibri" w:hAnsi="Arial" w:cs="Arial"/>
          <w:color w:val="000000"/>
        </w:rPr>
        <w:t>percent</w:t>
      </w:r>
      <w:r w:rsidRPr="007A2816">
        <w:rPr>
          <w:rFonts w:ascii="Arial" w:eastAsia="Calibri" w:hAnsi="Arial" w:cs="Arial"/>
          <w:color w:val="000000"/>
          <w:spacing w:val="-6"/>
        </w:rPr>
        <w:t xml:space="preserve"> </w:t>
      </w:r>
      <w:r w:rsidRPr="007A2816">
        <w:rPr>
          <w:rFonts w:ascii="Arial" w:eastAsia="Calibri" w:hAnsi="Arial" w:cs="Arial"/>
          <w:color w:val="000000"/>
        </w:rPr>
        <w:t>of</w:t>
      </w:r>
      <w:r w:rsidRPr="007A2816">
        <w:rPr>
          <w:rFonts w:ascii="Arial" w:eastAsia="Calibri" w:hAnsi="Arial" w:cs="Arial"/>
          <w:color w:val="000000"/>
          <w:spacing w:val="-11"/>
        </w:rPr>
        <w:t xml:space="preserve"> </w:t>
      </w:r>
      <w:r w:rsidRPr="007A2816">
        <w:rPr>
          <w:rFonts w:ascii="Arial" w:eastAsia="Calibri" w:hAnsi="Arial" w:cs="Arial"/>
          <w:color w:val="000000"/>
        </w:rPr>
        <w:t>the</w:t>
      </w:r>
      <w:r w:rsidRPr="007A2816">
        <w:rPr>
          <w:rFonts w:ascii="Arial" w:eastAsia="Calibri" w:hAnsi="Arial" w:cs="Arial"/>
          <w:color w:val="000000"/>
          <w:spacing w:val="-8"/>
        </w:rPr>
        <w:t xml:space="preserve"> </w:t>
      </w:r>
      <w:r w:rsidRPr="007A2816">
        <w:rPr>
          <w:rFonts w:ascii="Arial" w:eastAsia="Calibri" w:hAnsi="Arial" w:cs="Arial"/>
          <w:color w:val="000000"/>
        </w:rPr>
        <w:t>agency-wide</w:t>
      </w:r>
      <w:r w:rsidRPr="007A2816">
        <w:rPr>
          <w:rFonts w:ascii="Arial" w:eastAsia="Calibri" w:hAnsi="Arial" w:cs="Arial"/>
          <w:color w:val="000000"/>
          <w:spacing w:val="24"/>
        </w:rPr>
        <w:t xml:space="preserve"> </w:t>
      </w:r>
      <w:r w:rsidRPr="007A2816">
        <w:rPr>
          <w:rFonts w:ascii="Arial" w:eastAsia="Calibri" w:hAnsi="Arial" w:cs="Arial"/>
          <w:color w:val="000000"/>
        </w:rPr>
        <w:t>direct labor hours (DLHs) during the most recent fiscal</w:t>
      </w:r>
      <w:r w:rsidRPr="007A2816">
        <w:rPr>
          <w:rFonts w:ascii="Arial" w:eastAsia="Calibri" w:hAnsi="Arial" w:cs="Arial"/>
          <w:color w:val="000000"/>
          <w:spacing w:val="-26"/>
        </w:rPr>
        <w:t xml:space="preserve"> </w:t>
      </w:r>
      <w:r w:rsidRPr="007A2816">
        <w:rPr>
          <w:rFonts w:ascii="Arial" w:eastAsia="Calibri" w:hAnsi="Arial" w:cs="Arial"/>
          <w:color w:val="000000"/>
        </w:rPr>
        <w:t>quarter</w:t>
      </w:r>
    </w:p>
    <w:p w14:paraId="034A78BE" w14:textId="77777777" w:rsidR="007A2816" w:rsidRPr="007A2816" w:rsidRDefault="007A2816" w:rsidP="007A2816">
      <w:pPr>
        <w:numPr>
          <w:ilvl w:val="0"/>
          <w:numId w:val="1"/>
        </w:numPr>
        <w:overflowPunct w:val="0"/>
        <w:autoSpaceDE w:val="0"/>
        <w:autoSpaceDN w:val="0"/>
        <w:spacing w:after="0" w:line="263" w:lineRule="exact"/>
        <w:rPr>
          <w:rFonts w:ascii="Arial" w:eastAsia="Calibri" w:hAnsi="Arial" w:cs="Arial"/>
        </w:rPr>
      </w:pPr>
      <w:r w:rsidRPr="007A2816">
        <w:rPr>
          <w:rFonts w:ascii="Arial" w:eastAsia="Calibri" w:hAnsi="Arial" w:cs="Arial"/>
          <w:color w:val="000000"/>
        </w:rPr>
        <w:t xml:space="preserve">Be an active </w:t>
      </w:r>
      <w:r w:rsidRPr="007A2816">
        <w:rPr>
          <w:rFonts w:ascii="Arial" w:eastAsia="Calibri" w:hAnsi="Arial" w:cs="Arial"/>
        </w:rPr>
        <w:t xml:space="preserve">participant in the Employee </w:t>
      </w:r>
      <w:r w:rsidRPr="007A2816">
        <w:rPr>
          <w:rFonts w:ascii="Arial" w:eastAsia="Calibri" w:hAnsi="Arial" w:cs="Arial"/>
          <w:spacing w:val="-4"/>
        </w:rPr>
        <w:t xml:space="preserve">Research </w:t>
      </w:r>
      <w:r w:rsidRPr="007A2816">
        <w:rPr>
          <w:rFonts w:ascii="Arial" w:eastAsia="Calibri" w:hAnsi="Arial" w:cs="Arial"/>
        </w:rPr>
        <w:t>System</w:t>
      </w:r>
      <w:r w:rsidRPr="007A2816">
        <w:rPr>
          <w:rFonts w:ascii="Arial" w:eastAsia="Calibri" w:hAnsi="Arial" w:cs="Arial"/>
          <w:spacing w:val="-21"/>
        </w:rPr>
        <w:t xml:space="preserve"> </w:t>
      </w:r>
      <w:r w:rsidRPr="007A2816">
        <w:rPr>
          <w:rFonts w:ascii="Arial" w:eastAsia="Calibri" w:hAnsi="Arial" w:cs="Arial"/>
        </w:rPr>
        <w:t>(ERS)</w:t>
      </w:r>
    </w:p>
    <w:p w14:paraId="5B06D415" w14:textId="77777777" w:rsidR="007A2816" w:rsidRPr="007A2816" w:rsidRDefault="007A2816" w:rsidP="007A2816">
      <w:pPr>
        <w:numPr>
          <w:ilvl w:val="0"/>
          <w:numId w:val="1"/>
        </w:numPr>
        <w:overflowPunct w:val="0"/>
        <w:autoSpaceDE w:val="0"/>
        <w:autoSpaceDN w:val="0"/>
        <w:spacing w:after="0" w:line="268" w:lineRule="exact"/>
        <w:rPr>
          <w:rFonts w:ascii="Arial" w:eastAsia="Calibri" w:hAnsi="Arial" w:cs="Arial"/>
        </w:rPr>
      </w:pPr>
      <w:r w:rsidRPr="007A2816">
        <w:rPr>
          <w:rFonts w:ascii="Arial" w:eastAsia="Calibri" w:hAnsi="Arial" w:cs="Arial"/>
        </w:rPr>
        <w:t>Submit the Quarterly Employment Report (QER) by each quarterly</w:t>
      </w:r>
      <w:r w:rsidRPr="007A2816">
        <w:rPr>
          <w:rFonts w:ascii="Arial" w:eastAsia="Calibri" w:hAnsi="Arial" w:cs="Arial"/>
          <w:spacing w:val="-35"/>
        </w:rPr>
        <w:t xml:space="preserve"> </w:t>
      </w:r>
      <w:r w:rsidRPr="007A2816">
        <w:rPr>
          <w:rFonts w:ascii="Arial" w:eastAsia="Calibri" w:hAnsi="Arial" w:cs="Arial"/>
        </w:rPr>
        <w:t>deadline</w:t>
      </w:r>
    </w:p>
    <w:p w14:paraId="30031947" w14:textId="77777777" w:rsidR="007A2816" w:rsidRPr="007A2816" w:rsidRDefault="007A2816" w:rsidP="007A2816">
      <w:pPr>
        <w:numPr>
          <w:ilvl w:val="0"/>
          <w:numId w:val="1"/>
        </w:numPr>
        <w:overflowPunct w:val="0"/>
        <w:autoSpaceDE w:val="0"/>
        <w:autoSpaceDN w:val="0"/>
        <w:spacing w:after="0" w:line="268" w:lineRule="exact"/>
        <w:rPr>
          <w:rFonts w:ascii="Arial" w:eastAsia="Calibri" w:hAnsi="Arial" w:cs="Arial"/>
        </w:rPr>
      </w:pPr>
      <w:r w:rsidRPr="007A2816">
        <w:rPr>
          <w:rFonts w:ascii="Arial" w:eastAsia="Calibri" w:hAnsi="Arial" w:cs="Arial"/>
        </w:rPr>
        <w:t>Submit the Annual Representations and Certifications form by the annual</w:t>
      </w:r>
      <w:r w:rsidRPr="007A2816">
        <w:rPr>
          <w:rFonts w:ascii="Arial" w:eastAsia="Calibri" w:hAnsi="Arial" w:cs="Arial"/>
          <w:spacing w:val="-6"/>
        </w:rPr>
        <w:t xml:space="preserve"> </w:t>
      </w:r>
      <w:r w:rsidRPr="007A2816">
        <w:rPr>
          <w:rFonts w:ascii="Arial" w:eastAsia="Calibri" w:hAnsi="Arial" w:cs="Arial"/>
        </w:rPr>
        <w:t>deadline</w:t>
      </w:r>
    </w:p>
    <w:p w14:paraId="01ED75A4" w14:textId="77777777" w:rsidR="007A2816" w:rsidRPr="007A2816" w:rsidRDefault="007A2816" w:rsidP="007A2816">
      <w:pPr>
        <w:numPr>
          <w:ilvl w:val="0"/>
          <w:numId w:val="1"/>
        </w:numPr>
        <w:overflowPunct w:val="0"/>
        <w:autoSpaceDE w:val="0"/>
        <w:autoSpaceDN w:val="0"/>
        <w:spacing w:after="0" w:line="268" w:lineRule="exact"/>
        <w:rPr>
          <w:rFonts w:ascii="Arial" w:eastAsia="Calibri" w:hAnsi="Arial" w:cs="Arial"/>
        </w:rPr>
      </w:pPr>
      <w:r w:rsidRPr="007A2816">
        <w:rPr>
          <w:rFonts w:ascii="Arial" w:eastAsia="Calibri" w:hAnsi="Arial" w:cs="Arial"/>
        </w:rPr>
        <w:t>Have No Government Contracting Cure Notice for those projects on the Procurement List</w:t>
      </w:r>
    </w:p>
    <w:p w14:paraId="0DC6B493" w14:textId="6E106D93" w:rsidR="007A2816" w:rsidRPr="007A2816" w:rsidRDefault="007A2816" w:rsidP="007A2816">
      <w:pPr>
        <w:numPr>
          <w:ilvl w:val="0"/>
          <w:numId w:val="1"/>
        </w:numPr>
        <w:overflowPunct w:val="0"/>
        <w:autoSpaceDE w:val="0"/>
        <w:autoSpaceDN w:val="0"/>
        <w:spacing w:after="0" w:line="269" w:lineRule="exact"/>
        <w:rPr>
          <w:rFonts w:ascii="Arial" w:eastAsia="Calibri" w:hAnsi="Arial" w:cs="Arial"/>
          <w:color w:val="211E1F"/>
        </w:rPr>
      </w:pPr>
      <w:r w:rsidRPr="007A2816">
        <w:rPr>
          <w:rFonts w:ascii="Arial" w:eastAsia="Calibri" w:hAnsi="Arial" w:cs="Arial"/>
        </w:rPr>
        <w:t xml:space="preserve">Be current in payment of U.S. </w:t>
      </w:r>
      <w:proofErr w:type="spellStart"/>
      <w:r w:rsidRPr="007A2816">
        <w:rPr>
          <w:rFonts w:ascii="Arial" w:eastAsia="Calibri" w:hAnsi="Arial" w:cs="Arial"/>
        </w:rPr>
        <w:t>AbilityOne</w:t>
      </w:r>
      <w:proofErr w:type="spellEnd"/>
      <w:r w:rsidRPr="007A2816">
        <w:rPr>
          <w:rFonts w:ascii="Arial" w:eastAsia="Calibri" w:hAnsi="Arial" w:cs="Arial"/>
        </w:rPr>
        <w:t xml:space="preserve"> Commission</w:t>
      </w:r>
      <w:r w:rsidR="0003000E" w:rsidRPr="0003000E">
        <w:rPr>
          <w:rFonts w:ascii="Arial" w:eastAsia="Calibri" w:hAnsi="Arial" w:cs="Arial"/>
          <w:vertAlign w:val="superscript"/>
        </w:rPr>
        <w:t>®</w:t>
      </w:r>
      <w:r w:rsidRPr="007A2816">
        <w:rPr>
          <w:rFonts w:ascii="Arial" w:eastAsia="Calibri" w:hAnsi="Arial" w:cs="Arial"/>
        </w:rPr>
        <w:t xml:space="preserve"> fees as well as invoices</w:t>
      </w:r>
      <w:r w:rsidRPr="007A2816">
        <w:rPr>
          <w:rFonts w:ascii="Arial" w:eastAsia="Calibri" w:hAnsi="Arial" w:cs="Arial"/>
          <w:color w:val="000000"/>
          <w:spacing w:val="-10"/>
        </w:rPr>
        <w:t xml:space="preserve"> </w:t>
      </w:r>
      <w:r w:rsidRPr="007A2816">
        <w:rPr>
          <w:rFonts w:ascii="Arial" w:eastAsia="Calibri" w:hAnsi="Arial" w:cs="Arial"/>
          <w:color w:val="000000"/>
        </w:rPr>
        <w:t>and orders</w:t>
      </w:r>
    </w:p>
    <w:p w14:paraId="1B0A3463" w14:textId="77777777" w:rsidR="007A2816" w:rsidRPr="007A2816" w:rsidRDefault="007A2816" w:rsidP="007A2816">
      <w:pPr>
        <w:overflowPunct w:val="0"/>
        <w:autoSpaceDE w:val="0"/>
        <w:autoSpaceDN w:val="0"/>
        <w:spacing w:before="3" w:after="0" w:line="240" w:lineRule="auto"/>
        <w:rPr>
          <w:rFonts w:ascii="Arial" w:eastAsia="Calibri" w:hAnsi="Arial" w:cs="Arial"/>
        </w:rPr>
      </w:pPr>
    </w:p>
    <w:p w14:paraId="7188814B" w14:textId="77777777" w:rsidR="007A2816" w:rsidRPr="007A2816" w:rsidRDefault="007A2816" w:rsidP="007A2816">
      <w:pPr>
        <w:overflowPunct w:val="0"/>
        <w:autoSpaceDE w:val="0"/>
        <w:autoSpaceDN w:val="0"/>
        <w:spacing w:after="0" w:line="240" w:lineRule="auto"/>
        <w:ind w:left="882" w:right="1393"/>
        <w:rPr>
          <w:rFonts w:ascii="Arial" w:eastAsia="Calibri" w:hAnsi="Arial" w:cs="Arial"/>
        </w:rPr>
      </w:pPr>
    </w:p>
    <w:p w14:paraId="1CD51774" w14:textId="77777777" w:rsidR="007A2816" w:rsidRPr="007A2816" w:rsidRDefault="007A2816" w:rsidP="007A2816">
      <w:pPr>
        <w:overflowPunct w:val="0"/>
        <w:autoSpaceDE w:val="0"/>
        <w:autoSpaceDN w:val="0"/>
        <w:spacing w:after="0" w:line="240" w:lineRule="auto"/>
        <w:ind w:left="882" w:right="1393"/>
        <w:rPr>
          <w:rFonts w:ascii="Arial" w:eastAsia="Calibri" w:hAnsi="Arial" w:cs="Arial"/>
          <w:color w:val="000000"/>
        </w:rPr>
      </w:pPr>
      <w:r w:rsidRPr="007A2816">
        <w:rPr>
          <w:rFonts w:ascii="Arial" w:eastAsia="Calibri" w:hAnsi="Arial" w:cs="Arial"/>
          <w:color w:val="211E1F"/>
        </w:rPr>
        <w:t xml:space="preserve">NPAs </w:t>
      </w:r>
      <w:r w:rsidRPr="007A2816">
        <w:rPr>
          <w:rFonts w:ascii="Arial" w:eastAsia="Calibri" w:hAnsi="Arial" w:cs="Arial"/>
          <w:b/>
          <w:bCs/>
          <w:i/>
          <w:iCs/>
          <w:color w:val="211E1F"/>
        </w:rPr>
        <w:t xml:space="preserve">not </w:t>
      </w:r>
      <w:r w:rsidRPr="007A2816">
        <w:rPr>
          <w:rFonts w:ascii="Arial" w:eastAsia="Calibri" w:hAnsi="Arial" w:cs="Arial"/>
          <w:color w:val="211E1F"/>
        </w:rPr>
        <w:t>compliant with the above requirements are ineligible for TIP reimbursement until the requirements have been fulfilled</w:t>
      </w:r>
      <w:r w:rsidRPr="007A2816">
        <w:rPr>
          <w:rFonts w:ascii="Arial" w:eastAsia="Calibri" w:hAnsi="Arial" w:cs="Arial"/>
          <w:color w:val="000000"/>
        </w:rPr>
        <w:t>. SourceAmerica staff are available to help NPAs become compliant. See the SourceAmerica staff contact list at the end of this document for additional guidance.</w:t>
      </w:r>
    </w:p>
    <w:p w14:paraId="35F184B3" w14:textId="77777777" w:rsidR="007A2816" w:rsidRPr="007A2816" w:rsidRDefault="007A2816" w:rsidP="007A2816">
      <w:pPr>
        <w:overflowPunct w:val="0"/>
        <w:autoSpaceDE w:val="0"/>
        <w:autoSpaceDN w:val="0"/>
        <w:spacing w:after="0" w:line="240" w:lineRule="auto"/>
        <w:rPr>
          <w:rFonts w:ascii="Arial" w:eastAsia="Calibri" w:hAnsi="Arial" w:cs="Arial"/>
        </w:rPr>
      </w:pPr>
    </w:p>
    <w:p w14:paraId="0D7C8C6A" w14:textId="77777777" w:rsidR="007A2816" w:rsidRPr="007A2816" w:rsidRDefault="007A2816" w:rsidP="007A2816">
      <w:pPr>
        <w:overflowPunct w:val="0"/>
        <w:autoSpaceDE w:val="0"/>
        <w:autoSpaceDN w:val="0"/>
        <w:spacing w:after="0" w:line="240" w:lineRule="auto"/>
        <w:ind w:left="882" w:right="1128" w:hanging="3"/>
        <w:rPr>
          <w:rFonts w:ascii="Arial" w:eastAsia="Calibri" w:hAnsi="Arial" w:cs="Arial"/>
        </w:rPr>
      </w:pPr>
      <w:r w:rsidRPr="007A2816">
        <w:rPr>
          <w:rFonts w:ascii="Arial" w:eastAsia="Calibri" w:hAnsi="Arial" w:cs="Arial"/>
        </w:rPr>
        <w:t xml:space="preserve">Only Producing NPAs are eligible for TIP reimbursements except for affiliate NPAs undergoing the NPA Verification Process. In this case, an affiliate can be reimbursed for taking the </w:t>
      </w:r>
      <w:r w:rsidRPr="007A2816">
        <w:rPr>
          <w:rFonts w:ascii="Arial" w:eastAsia="Calibri" w:hAnsi="Arial" w:cs="Arial"/>
          <w:i/>
          <w:iCs/>
        </w:rPr>
        <w:t xml:space="preserve">Navigating the </w:t>
      </w:r>
      <w:proofErr w:type="spellStart"/>
      <w:r w:rsidRPr="007A2816">
        <w:rPr>
          <w:rFonts w:ascii="Arial" w:eastAsia="Calibri" w:hAnsi="Arial" w:cs="Arial"/>
          <w:i/>
          <w:iCs/>
        </w:rPr>
        <w:t>AbilityOne</w:t>
      </w:r>
      <w:proofErr w:type="spellEnd"/>
      <w:r w:rsidRPr="007A2816">
        <w:rPr>
          <w:rFonts w:ascii="Arial" w:eastAsia="Calibri" w:hAnsi="Arial" w:cs="Arial"/>
          <w:i/>
          <w:iCs/>
        </w:rPr>
        <w:t xml:space="preserve"> Program </w:t>
      </w:r>
      <w:r w:rsidRPr="007A2816">
        <w:rPr>
          <w:rFonts w:ascii="Arial" w:eastAsia="Calibri" w:hAnsi="Arial" w:cs="Arial"/>
        </w:rPr>
        <w:t>training.</w:t>
      </w:r>
    </w:p>
    <w:p w14:paraId="7E23799F" w14:textId="77777777" w:rsidR="007A2816" w:rsidRPr="007A2816" w:rsidRDefault="007A2816" w:rsidP="007A2816">
      <w:pPr>
        <w:overflowPunct w:val="0"/>
        <w:autoSpaceDE w:val="0"/>
        <w:autoSpaceDN w:val="0"/>
        <w:spacing w:before="67" w:after="0" w:line="240" w:lineRule="auto"/>
        <w:ind w:left="880"/>
        <w:outlineLvl w:val="0"/>
        <w:rPr>
          <w:rFonts w:ascii="Arial" w:eastAsia="Times New Roman" w:hAnsi="Arial" w:cs="Arial"/>
          <w:b/>
          <w:bCs/>
          <w:color w:val="C00000"/>
          <w:kern w:val="36"/>
          <w:sz w:val="24"/>
          <w:szCs w:val="24"/>
        </w:rPr>
      </w:pPr>
      <w:bookmarkStart w:id="0" w:name="Training_Attendance_Documentation"/>
      <w:bookmarkEnd w:id="0"/>
    </w:p>
    <w:p w14:paraId="31FDD507" w14:textId="77777777" w:rsidR="007A2816" w:rsidRPr="007A2816" w:rsidRDefault="007A2816" w:rsidP="007A2816">
      <w:pPr>
        <w:overflowPunct w:val="0"/>
        <w:autoSpaceDE w:val="0"/>
        <w:autoSpaceDN w:val="0"/>
        <w:spacing w:after="0" w:line="274" w:lineRule="exact"/>
        <w:ind w:left="880"/>
        <w:outlineLvl w:val="0"/>
        <w:rPr>
          <w:rFonts w:ascii="Arial" w:eastAsia="Times New Roman" w:hAnsi="Arial" w:cs="Arial"/>
          <w:b/>
          <w:bCs/>
          <w:color w:val="C00000"/>
          <w:kern w:val="36"/>
          <w:sz w:val="24"/>
          <w:szCs w:val="24"/>
        </w:rPr>
      </w:pPr>
      <w:bookmarkStart w:id="1" w:name="Staff_Contacts_for_Additional_Informatio"/>
      <w:bookmarkEnd w:id="1"/>
      <w:r w:rsidRPr="007A2816">
        <w:rPr>
          <w:rFonts w:ascii="Arial" w:eastAsia="Times New Roman" w:hAnsi="Arial" w:cs="Arial"/>
          <w:b/>
          <w:bCs/>
          <w:color w:val="C00000"/>
          <w:kern w:val="36"/>
          <w:sz w:val="24"/>
          <w:szCs w:val="24"/>
        </w:rPr>
        <w:t>Staff Contacts for Additional Information</w:t>
      </w:r>
    </w:p>
    <w:p w14:paraId="71E24894" w14:textId="0748A315" w:rsidR="007A2816" w:rsidRPr="007A2816" w:rsidRDefault="007A2816" w:rsidP="007A2816">
      <w:pPr>
        <w:numPr>
          <w:ilvl w:val="0"/>
          <w:numId w:val="2"/>
        </w:numPr>
        <w:overflowPunct w:val="0"/>
        <w:autoSpaceDE w:val="0"/>
        <w:autoSpaceDN w:val="0"/>
        <w:spacing w:after="0" w:line="268" w:lineRule="exact"/>
        <w:ind w:left="1600" w:hanging="361"/>
        <w:rPr>
          <w:rFonts w:ascii="Symbol" w:eastAsia="Calibri" w:hAnsi="Symbol" w:cs="Arial"/>
          <w:color w:val="000000"/>
        </w:rPr>
      </w:pPr>
      <w:r w:rsidRPr="007A2816">
        <w:rPr>
          <w:rFonts w:ascii="Arial" w:eastAsia="Calibri" w:hAnsi="Arial" w:cs="Arial"/>
        </w:rPr>
        <w:t>For questions about a reimbursement request, contact</w:t>
      </w:r>
      <w:r w:rsidRPr="007A2816">
        <w:rPr>
          <w:rFonts w:ascii="Arial" w:eastAsia="Calibri" w:hAnsi="Arial" w:cs="Arial"/>
          <w:color w:val="0000FF"/>
          <w:spacing w:val="-37"/>
        </w:rPr>
        <w:t xml:space="preserve"> </w:t>
      </w:r>
      <w:hyperlink r:id="rId6" w:history="1">
        <w:r w:rsidRPr="007A2816">
          <w:rPr>
            <w:rFonts w:ascii="Arial" w:eastAsia="Calibri" w:hAnsi="Arial" w:cs="Arial"/>
            <w:color w:val="0563C1"/>
            <w:u w:val="single"/>
          </w:rPr>
          <w:t>FinancialAssistance@SourceAmerica.org</w:t>
        </w:r>
      </w:hyperlink>
    </w:p>
    <w:p w14:paraId="11074A35" w14:textId="77777777" w:rsidR="007A2816" w:rsidRPr="007A2816" w:rsidRDefault="007A2816" w:rsidP="007A2816">
      <w:pPr>
        <w:numPr>
          <w:ilvl w:val="0"/>
          <w:numId w:val="2"/>
        </w:numPr>
        <w:overflowPunct w:val="0"/>
        <w:autoSpaceDE w:val="0"/>
        <w:autoSpaceDN w:val="0"/>
        <w:spacing w:before="8" w:after="0" w:line="228" w:lineRule="auto"/>
        <w:ind w:left="1600" w:right="4211" w:hanging="361"/>
        <w:rPr>
          <w:rFonts w:ascii="Symbol" w:eastAsia="Calibri" w:hAnsi="Symbol" w:cs="Arial"/>
          <w:color w:val="000000"/>
        </w:rPr>
      </w:pPr>
      <w:r w:rsidRPr="007A2816">
        <w:rPr>
          <w:rFonts w:ascii="Arial" w:eastAsia="Calibri" w:hAnsi="Arial" w:cs="Arial"/>
        </w:rPr>
        <w:t>To obtain a password to access the Customer Portal, contac</w:t>
      </w:r>
      <w:hyperlink r:id="rId7" w:history="1">
        <w:r w:rsidRPr="007A2816">
          <w:rPr>
            <w:rFonts w:ascii="Arial" w:eastAsia="Calibri" w:hAnsi="Arial" w:cs="Arial"/>
            <w:color w:val="0563C1"/>
            <w:u w:val="single"/>
          </w:rPr>
          <w:t>t</w:t>
        </w:r>
      </w:hyperlink>
      <w:hyperlink r:id="rId8" w:history="1">
        <w:r w:rsidRPr="007A2816">
          <w:rPr>
            <w:rFonts w:ascii="Arial" w:eastAsia="Calibri" w:hAnsi="Arial" w:cs="Arial"/>
            <w:color w:val="0563C1"/>
            <w:u w:val="single"/>
          </w:rPr>
          <w:t xml:space="preserve"> </w:t>
        </w:r>
        <w:r w:rsidRPr="007A2816">
          <w:rPr>
            <w:rFonts w:ascii="Arial" w:eastAsia="Calibri" w:hAnsi="Arial" w:cs="Arial"/>
            <w:color w:val="0563C1"/>
            <w:u w:val="single"/>
          </w:rPr>
          <w:lastRenderedPageBreak/>
          <w:t>CustomerService@SourceAmerica.org</w:t>
        </w:r>
        <w:r w:rsidRPr="007A2816">
          <w:rPr>
            <w:rFonts w:ascii="Arial" w:eastAsia="Calibri" w:hAnsi="Arial" w:cs="Arial"/>
            <w:color w:val="0563C1"/>
            <w:spacing w:val="-7"/>
            <w:u w:val="single"/>
          </w:rPr>
          <w:t xml:space="preserve"> </w:t>
        </w:r>
      </w:hyperlink>
      <w:r w:rsidRPr="007A2816">
        <w:rPr>
          <w:rFonts w:ascii="Arial" w:eastAsia="Calibri" w:hAnsi="Arial" w:cs="Arial"/>
          <w:color w:val="000000"/>
        </w:rPr>
        <w:t>or</w:t>
      </w:r>
      <w:r w:rsidRPr="007A2816">
        <w:rPr>
          <w:rFonts w:ascii="Arial" w:eastAsia="Calibri" w:hAnsi="Arial" w:cs="Arial"/>
          <w:color w:val="000000"/>
          <w:spacing w:val="-7"/>
        </w:rPr>
        <w:t xml:space="preserve"> </w:t>
      </w:r>
      <w:r w:rsidRPr="007A2816">
        <w:rPr>
          <w:rFonts w:ascii="Arial" w:eastAsia="Calibri" w:hAnsi="Arial" w:cs="Arial"/>
          <w:color w:val="000000"/>
        </w:rPr>
        <w:t>call</w:t>
      </w:r>
      <w:r w:rsidRPr="007A2816">
        <w:rPr>
          <w:rFonts w:ascii="Arial" w:eastAsia="Calibri" w:hAnsi="Arial" w:cs="Arial"/>
          <w:color w:val="000000"/>
          <w:spacing w:val="-45"/>
        </w:rPr>
        <w:t xml:space="preserve">  </w:t>
      </w:r>
      <w:r w:rsidRPr="007A2816">
        <w:rPr>
          <w:rFonts w:ascii="Arial" w:eastAsia="Calibri" w:hAnsi="Arial" w:cs="Arial"/>
          <w:color w:val="000000"/>
        </w:rPr>
        <w:t>888-411-8424.</w:t>
      </w:r>
    </w:p>
    <w:p w14:paraId="5FB69138" w14:textId="77777777" w:rsidR="007A2816" w:rsidRPr="007A2816" w:rsidRDefault="007A2816" w:rsidP="007A2816">
      <w:pPr>
        <w:overflowPunct w:val="0"/>
        <w:autoSpaceDE w:val="0"/>
        <w:autoSpaceDN w:val="0"/>
        <w:spacing w:after="0" w:line="20" w:lineRule="exact"/>
        <w:ind w:left="1591"/>
        <w:rPr>
          <w:rFonts w:ascii="Arial" w:eastAsia="Calibri" w:hAnsi="Arial" w:cs="Arial"/>
          <w:sz w:val="2"/>
          <w:szCs w:val="2"/>
        </w:rPr>
      </w:pPr>
      <w:r w:rsidRPr="007A2816">
        <w:rPr>
          <w:rFonts w:ascii="Arial" w:eastAsia="Calibri" w:hAnsi="Arial" w:cs="Arial"/>
          <w:noProof/>
          <w:sz w:val="2"/>
          <w:szCs w:val="2"/>
        </w:rPr>
        <w:drawing>
          <wp:inline distT="0" distB="0" distL="0" distR="0" wp14:anchorId="27EA8656" wp14:editId="6B305859">
            <wp:extent cx="2438400" cy="19050"/>
            <wp:effectExtent l="0" t="0" r="0" b="0"/>
            <wp:docPr id="13" name="Grou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38400" cy="19050"/>
                    </a:xfrm>
                    <a:prstGeom prst="rect">
                      <a:avLst/>
                    </a:prstGeom>
                    <a:noFill/>
                    <a:ln>
                      <a:noFill/>
                    </a:ln>
                  </pic:spPr>
                </pic:pic>
              </a:graphicData>
            </a:graphic>
          </wp:inline>
        </w:drawing>
      </w:r>
    </w:p>
    <w:p w14:paraId="79EDF37F" w14:textId="77777777" w:rsidR="007A2816" w:rsidRPr="007A2816" w:rsidRDefault="007A2816" w:rsidP="007A2816">
      <w:pPr>
        <w:numPr>
          <w:ilvl w:val="0"/>
          <w:numId w:val="2"/>
        </w:numPr>
        <w:overflowPunct w:val="0"/>
        <w:autoSpaceDE w:val="0"/>
        <w:autoSpaceDN w:val="0"/>
        <w:spacing w:after="0" w:line="228" w:lineRule="auto"/>
        <w:ind w:left="1600" w:right="1154" w:hanging="361"/>
        <w:rPr>
          <w:rFonts w:ascii="Symbol" w:eastAsia="Calibri" w:hAnsi="Symbol" w:cs="Arial"/>
          <w:color w:val="000000"/>
        </w:rPr>
      </w:pPr>
      <w:r w:rsidRPr="007A2816">
        <w:rPr>
          <w:rFonts w:ascii="Arial" w:eastAsia="Calibri" w:hAnsi="Arial" w:cs="Arial"/>
        </w:rPr>
        <w:t>For problems accessing the Customer Portal, call the SourceAmerica Help Desk at 888-231- 3326.</w:t>
      </w:r>
    </w:p>
    <w:p w14:paraId="38A34D64" w14:textId="77777777" w:rsidR="007A2816" w:rsidRPr="007A2816" w:rsidRDefault="007A2816" w:rsidP="007A2816">
      <w:pPr>
        <w:numPr>
          <w:ilvl w:val="0"/>
          <w:numId w:val="2"/>
        </w:numPr>
        <w:overflowPunct w:val="0"/>
        <w:autoSpaceDE w:val="0"/>
        <w:autoSpaceDN w:val="0"/>
        <w:spacing w:after="0" w:line="264" w:lineRule="exact"/>
        <w:ind w:left="1600" w:hanging="361"/>
        <w:rPr>
          <w:rFonts w:ascii="Symbol" w:eastAsia="Calibri" w:hAnsi="Symbol" w:cs="Arial"/>
          <w:color w:val="000000"/>
        </w:rPr>
      </w:pPr>
      <w:r w:rsidRPr="007A2816">
        <w:rPr>
          <w:rFonts w:ascii="Arial" w:eastAsia="Calibri" w:hAnsi="Arial" w:cs="Arial"/>
        </w:rPr>
        <w:t xml:space="preserve">To become an ERS </w:t>
      </w:r>
      <w:r w:rsidRPr="007A2816">
        <w:rPr>
          <w:rFonts w:ascii="Arial" w:eastAsia="Calibri" w:hAnsi="Arial" w:cs="Arial"/>
          <w:spacing w:val="-5"/>
        </w:rPr>
        <w:t xml:space="preserve">participant, </w:t>
      </w:r>
      <w:r w:rsidRPr="007A2816">
        <w:rPr>
          <w:rFonts w:ascii="Arial" w:eastAsia="Calibri" w:hAnsi="Arial" w:cs="Arial"/>
        </w:rPr>
        <w:t>contact</w:t>
      </w:r>
      <w:r w:rsidRPr="007A2816">
        <w:rPr>
          <w:rFonts w:ascii="Arial" w:eastAsia="Calibri" w:hAnsi="Arial" w:cs="Arial"/>
          <w:spacing w:val="37"/>
        </w:rPr>
        <w:t xml:space="preserve"> </w:t>
      </w:r>
      <w:hyperlink r:id="rId11" w:history="1">
        <w:r w:rsidRPr="007A2816">
          <w:rPr>
            <w:rFonts w:ascii="Arial" w:eastAsia="Calibri" w:hAnsi="Arial" w:cs="Arial"/>
            <w:color w:val="0563C1"/>
            <w:u w:val="single"/>
          </w:rPr>
          <w:t>ERS@SourceAmerica.org</w:t>
        </w:r>
      </w:hyperlink>
      <w:r w:rsidRPr="007A2816">
        <w:rPr>
          <w:rFonts w:ascii="Arial" w:eastAsia="Calibri" w:hAnsi="Arial" w:cs="Arial"/>
          <w:color w:val="000000"/>
        </w:rPr>
        <w:t>.</w:t>
      </w:r>
    </w:p>
    <w:p w14:paraId="6BDCD1B6" w14:textId="77777777" w:rsidR="007A2816" w:rsidRPr="007A2816" w:rsidRDefault="007A2816" w:rsidP="007A2816">
      <w:pPr>
        <w:overflowPunct w:val="0"/>
        <w:autoSpaceDE w:val="0"/>
        <w:autoSpaceDN w:val="0"/>
        <w:spacing w:after="0" w:line="20" w:lineRule="exact"/>
        <w:ind w:left="5378"/>
        <w:rPr>
          <w:rFonts w:ascii="Arial" w:eastAsia="Calibri" w:hAnsi="Arial" w:cs="Arial"/>
          <w:sz w:val="2"/>
          <w:szCs w:val="2"/>
        </w:rPr>
      </w:pPr>
      <w:r w:rsidRPr="007A2816">
        <w:rPr>
          <w:rFonts w:ascii="Arial" w:eastAsia="Calibri" w:hAnsi="Arial" w:cs="Arial"/>
          <w:noProof/>
          <w:sz w:val="2"/>
          <w:szCs w:val="2"/>
        </w:rPr>
        <w:drawing>
          <wp:inline distT="0" distB="0" distL="0" distR="0" wp14:anchorId="38BA36A2" wp14:editId="5ACEB8B2">
            <wp:extent cx="1695450" cy="19050"/>
            <wp:effectExtent l="0" t="0" r="0" b="0"/>
            <wp:docPr id="14" name="Gro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95450" cy="19050"/>
                    </a:xfrm>
                    <a:prstGeom prst="rect">
                      <a:avLst/>
                    </a:prstGeom>
                    <a:noFill/>
                    <a:ln>
                      <a:noFill/>
                    </a:ln>
                  </pic:spPr>
                </pic:pic>
              </a:graphicData>
            </a:graphic>
          </wp:inline>
        </w:drawing>
      </w:r>
    </w:p>
    <w:p w14:paraId="116631E6" w14:textId="77777777" w:rsidR="007A2816" w:rsidRPr="007A2816" w:rsidRDefault="007A2816" w:rsidP="007A2816">
      <w:pPr>
        <w:numPr>
          <w:ilvl w:val="0"/>
          <w:numId w:val="2"/>
        </w:numPr>
        <w:overflowPunct w:val="0"/>
        <w:autoSpaceDE w:val="0"/>
        <w:autoSpaceDN w:val="0"/>
        <w:spacing w:after="0" w:line="228" w:lineRule="auto"/>
        <w:ind w:left="1600" w:right="1179" w:hanging="360"/>
        <w:rPr>
          <w:rFonts w:ascii="Symbol" w:eastAsia="Calibri" w:hAnsi="Symbol" w:cs="Arial"/>
          <w:color w:val="000000"/>
        </w:rPr>
      </w:pPr>
      <w:r w:rsidRPr="007A2816">
        <w:rPr>
          <w:rFonts w:ascii="Arial" w:eastAsia="Calibri" w:hAnsi="Arial" w:cs="Arial"/>
        </w:rPr>
        <w:t>For information on all SourceAmerica Financial Assistance Programs visit</w:t>
      </w:r>
      <w:r w:rsidRPr="007A2816">
        <w:rPr>
          <w:rFonts w:ascii="Arial" w:eastAsia="Calibri" w:hAnsi="Arial" w:cs="Arial"/>
          <w:color w:val="0000FF"/>
        </w:rPr>
        <w:t xml:space="preserve"> </w:t>
      </w:r>
      <w:hyperlink r:id="rId14" w:history="1">
        <w:r w:rsidRPr="007A2816">
          <w:rPr>
            <w:rFonts w:ascii="Arial" w:eastAsia="Calibri" w:hAnsi="Arial" w:cs="Arial"/>
            <w:color w:val="0563C1"/>
            <w:u w:val="single"/>
          </w:rPr>
          <w:t>Extranet Financial</w:t>
        </w:r>
      </w:hyperlink>
      <w:hyperlink r:id="rId15" w:history="1">
        <w:r w:rsidRPr="007A2816">
          <w:rPr>
            <w:rFonts w:ascii="Arial" w:eastAsia="Calibri" w:hAnsi="Arial" w:cs="Arial"/>
            <w:color w:val="0563C1"/>
            <w:u w:val="single"/>
          </w:rPr>
          <w:t xml:space="preserve"> Assistance </w:t>
        </w:r>
      </w:hyperlink>
      <w:r w:rsidRPr="007A2816">
        <w:rPr>
          <w:rFonts w:ascii="Arial" w:eastAsia="Calibri" w:hAnsi="Arial" w:cs="Arial"/>
          <w:color w:val="000000"/>
        </w:rPr>
        <w:t>(Extranet login</w:t>
      </w:r>
      <w:r w:rsidRPr="007A2816">
        <w:rPr>
          <w:rFonts w:ascii="Arial" w:eastAsia="Calibri" w:hAnsi="Arial" w:cs="Arial"/>
          <w:color w:val="000000"/>
          <w:spacing w:val="-5"/>
        </w:rPr>
        <w:t xml:space="preserve"> </w:t>
      </w:r>
      <w:r w:rsidRPr="007A2816">
        <w:rPr>
          <w:rFonts w:ascii="Arial" w:eastAsia="Calibri" w:hAnsi="Arial" w:cs="Arial"/>
          <w:color w:val="000000"/>
        </w:rPr>
        <w:t>required).</w:t>
      </w:r>
    </w:p>
    <w:p w14:paraId="189504EC" w14:textId="77777777" w:rsidR="007A2816" w:rsidRPr="007A2816" w:rsidRDefault="007A2816" w:rsidP="007A2816">
      <w:pPr>
        <w:numPr>
          <w:ilvl w:val="0"/>
          <w:numId w:val="2"/>
        </w:numPr>
        <w:overflowPunct w:val="0"/>
        <w:autoSpaceDE w:val="0"/>
        <w:autoSpaceDN w:val="0"/>
        <w:spacing w:before="2" w:after="0" w:line="240" w:lineRule="auto"/>
        <w:ind w:left="1600" w:hanging="361"/>
        <w:rPr>
          <w:rFonts w:ascii="Symbol" w:eastAsia="Calibri" w:hAnsi="Symbol" w:cs="Arial"/>
          <w:color w:val="000000"/>
        </w:rPr>
      </w:pPr>
      <w:r w:rsidRPr="007A2816">
        <w:rPr>
          <w:rFonts w:ascii="Arial" w:eastAsia="Calibri" w:hAnsi="Arial" w:cs="Arial"/>
        </w:rPr>
        <w:t>Any other concerns should be directed to your NPA’s Relations</w:t>
      </w:r>
      <w:r w:rsidRPr="007A2816">
        <w:rPr>
          <w:rFonts w:ascii="Arial" w:eastAsia="Calibri" w:hAnsi="Arial" w:cs="Arial"/>
          <w:spacing w:val="-15"/>
        </w:rPr>
        <w:t xml:space="preserve"> </w:t>
      </w:r>
      <w:r w:rsidRPr="007A2816">
        <w:rPr>
          <w:rFonts w:ascii="Arial" w:eastAsia="Calibri" w:hAnsi="Arial" w:cs="Arial"/>
        </w:rPr>
        <w:t>Liaison.</w:t>
      </w:r>
    </w:p>
    <w:p w14:paraId="091B6F98" w14:textId="77777777" w:rsidR="004672D0" w:rsidRDefault="004672D0"/>
    <w:sectPr w:rsidR="00467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603" w:hanging="363"/>
      </w:pPr>
      <w:rPr>
        <w:b w:val="0"/>
        <w:w w:val="100"/>
      </w:rPr>
    </w:lvl>
    <w:lvl w:ilvl="1">
      <w:numFmt w:val="bullet"/>
      <w:lvlText w:val="•"/>
      <w:lvlJc w:val="left"/>
      <w:pPr>
        <w:ind w:left="2616" w:hanging="363"/>
      </w:pPr>
    </w:lvl>
    <w:lvl w:ilvl="2">
      <w:numFmt w:val="bullet"/>
      <w:lvlText w:val="•"/>
      <w:lvlJc w:val="left"/>
      <w:pPr>
        <w:ind w:left="3632" w:hanging="363"/>
      </w:pPr>
    </w:lvl>
    <w:lvl w:ilvl="3">
      <w:numFmt w:val="bullet"/>
      <w:lvlText w:val="•"/>
      <w:lvlJc w:val="left"/>
      <w:pPr>
        <w:ind w:left="4648" w:hanging="363"/>
      </w:pPr>
    </w:lvl>
    <w:lvl w:ilvl="4">
      <w:numFmt w:val="bullet"/>
      <w:lvlText w:val="•"/>
      <w:lvlJc w:val="left"/>
      <w:pPr>
        <w:ind w:left="5664" w:hanging="363"/>
      </w:pPr>
    </w:lvl>
    <w:lvl w:ilvl="5">
      <w:numFmt w:val="bullet"/>
      <w:lvlText w:val="•"/>
      <w:lvlJc w:val="left"/>
      <w:pPr>
        <w:ind w:left="6680" w:hanging="363"/>
      </w:pPr>
    </w:lvl>
    <w:lvl w:ilvl="6">
      <w:numFmt w:val="bullet"/>
      <w:lvlText w:val="•"/>
      <w:lvlJc w:val="left"/>
      <w:pPr>
        <w:ind w:left="7696" w:hanging="363"/>
      </w:pPr>
    </w:lvl>
    <w:lvl w:ilvl="7">
      <w:numFmt w:val="bullet"/>
      <w:lvlText w:val="•"/>
      <w:lvlJc w:val="left"/>
      <w:pPr>
        <w:ind w:left="8712" w:hanging="363"/>
      </w:pPr>
    </w:lvl>
    <w:lvl w:ilvl="8">
      <w:numFmt w:val="bullet"/>
      <w:lvlText w:val="•"/>
      <w:lvlJc w:val="left"/>
      <w:pPr>
        <w:ind w:left="9728" w:hanging="363"/>
      </w:pPr>
    </w:lvl>
  </w:abstractNum>
  <w:abstractNum w:abstractNumId="1" w15:restartNumberingAfterBreak="0">
    <w:nsid w:val="781A5C8D"/>
    <w:multiLevelType w:val="multilevel"/>
    <w:tmpl w:val="B846FDC8"/>
    <w:lvl w:ilvl="0">
      <w:start w:val="1"/>
      <w:numFmt w:val="bullet"/>
      <w:lvlText w:val=""/>
      <w:lvlJc w:val="left"/>
      <w:pPr>
        <w:ind w:left="1603" w:hanging="363"/>
      </w:pPr>
      <w:rPr>
        <w:rFonts w:ascii="Symbol" w:hAnsi="Symbol" w:hint="default"/>
        <w:b w:val="0"/>
        <w:w w:val="100"/>
      </w:rPr>
    </w:lvl>
    <w:lvl w:ilvl="1">
      <w:numFmt w:val="bullet"/>
      <w:lvlText w:val="•"/>
      <w:lvlJc w:val="left"/>
      <w:pPr>
        <w:ind w:left="2616" w:hanging="363"/>
      </w:pPr>
    </w:lvl>
    <w:lvl w:ilvl="2">
      <w:numFmt w:val="bullet"/>
      <w:lvlText w:val="•"/>
      <w:lvlJc w:val="left"/>
      <w:pPr>
        <w:ind w:left="3632" w:hanging="363"/>
      </w:pPr>
    </w:lvl>
    <w:lvl w:ilvl="3">
      <w:numFmt w:val="bullet"/>
      <w:lvlText w:val="•"/>
      <w:lvlJc w:val="left"/>
      <w:pPr>
        <w:ind w:left="4648" w:hanging="363"/>
      </w:pPr>
    </w:lvl>
    <w:lvl w:ilvl="4">
      <w:numFmt w:val="bullet"/>
      <w:lvlText w:val="•"/>
      <w:lvlJc w:val="left"/>
      <w:pPr>
        <w:ind w:left="5664" w:hanging="363"/>
      </w:pPr>
    </w:lvl>
    <w:lvl w:ilvl="5">
      <w:numFmt w:val="bullet"/>
      <w:lvlText w:val="•"/>
      <w:lvlJc w:val="left"/>
      <w:pPr>
        <w:ind w:left="6680" w:hanging="363"/>
      </w:pPr>
    </w:lvl>
    <w:lvl w:ilvl="6">
      <w:numFmt w:val="bullet"/>
      <w:lvlText w:val="•"/>
      <w:lvlJc w:val="left"/>
      <w:pPr>
        <w:ind w:left="7696" w:hanging="363"/>
      </w:pPr>
    </w:lvl>
    <w:lvl w:ilvl="7">
      <w:numFmt w:val="bullet"/>
      <w:lvlText w:val="•"/>
      <w:lvlJc w:val="left"/>
      <w:pPr>
        <w:ind w:left="8712" w:hanging="363"/>
      </w:pPr>
    </w:lvl>
    <w:lvl w:ilvl="8">
      <w:numFmt w:val="bullet"/>
      <w:lvlText w:val="•"/>
      <w:lvlJc w:val="left"/>
      <w:pPr>
        <w:ind w:left="9728" w:hanging="36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16"/>
    <w:rsid w:val="0003000E"/>
    <w:rsid w:val="004672D0"/>
    <w:rsid w:val="007A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94E0"/>
  <w15:chartTrackingRefBased/>
  <w15:docId w15:val="{85E7B23A-CB92-443C-96C3-44D61ADE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ourceAmerica.org" TargetMode="External"/><Relationship Id="rId13" Type="http://schemas.openxmlformats.org/officeDocument/2006/relationships/image" Target="cid:image002.png@01D6F4CC.D98535E0" TargetMode="External"/><Relationship Id="rId3" Type="http://schemas.openxmlformats.org/officeDocument/2006/relationships/settings" Target="settings.xml"/><Relationship Id="rId7" Type="http://schemas.openxmlformats.org/officeDocument/2006/relationships/hyperlink" Target="mailto:CustomerService@SourceAmerica.org"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inancialAssistance@SourceAmerica.org" TargetMode="External"/><Relationship Id="rId11" Type="http://schemas.openxmlformats.org/officeDocument/2006/relationships/hyperlink" Target="mailto:%20ERS@SourceAmerica.org" TargetMode="External"/><Relationship Id="rId5" Type="http://schemas.openxmlformats.org/officeDocument/2006/relationships/hyperlink" Target="https://sourceamerica.sharepoint.com/sites/Portal/FinancialAssistance/SitePages/Other-Financial-Assistance/Training-Incentive-Voucher-Program.aspx" TargetMode="External"/><Relationship Id="rId15" Type="http://schemas.openxmlformats.org/officeDocument/2006/relationships/hyperlink" Target="https://theextranet.sourceamerica.org/sites/Portal/FinancialAssistance/Pages/Financial-Assistance/Financial-Assistance-Home.aspx" TargetMode="External"/><Relationship Id="rId10" Type="http://schemas.openxmlformats.org/officeDocument/2006/relationships/image" Target="cid:image001.png@01D6F4CC.D98535E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ourceamerica.sharepoint.com/sites/Portal/Financi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Pennewell</dc:creator>
  <cp:keywords/>
  <dc:description/>
  <cp:lastModifiedBy>Dionne Williams</cp:lastModifiedBy>
  <cp:revision>2</cp:revision>
  <dcterms:created xsi:type="dcterms:W3CDTF">2021-01-28T16:43:00Z</dcterms:created>
  <dcterms:modified xsi:type="dcterms:W3CDTF">2021-01-28T16:43:00Z</dcterms:modified>
</cp:coreProperties>
</file>